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36E3C" w14:textId="77777777" w:rsidR="001172BA" w:rsidRDefault="001172BA" w:rsidP="001172BA">
      <w:pPr>
        <w:pStyle w:val="Title"/>
      </w:pPr>
    </w:p>
    <w:p w14:paraId="170996AB" w14:textId="3484A13F" w:rsidR="001172BA" w:rsidRDefault="001172BA" w:rsidP="001172BA">
      <w:pPr>
        <w:pStyle w:val="Title"/>
        <w:jc w:val="center"/>
        <w:rPr>
          <w:rFonts w:ascii="Times New Roman" w:hAnsi="Times New Roman" w:cs="Times New Roman"/>
          <w:sz w:val="24"/>
          <w:szCs w:val="24"/>
        </w:rPr>
      </w:pPr>
      <w:r w:rsidRPr="001172BA">
        <w:rPr>
          <w:rFonts w:ascii="Times New Roman" w:hAnsi="Times New Roman" w:cs="Times New Roman"/>
          <w:sz w:val="24"/>
          <w:szCs w:val="24"/>
        </w:rPr>
        <w:t>ORDINANCE NO. 838</w:t>
      </w:r>
    </w:p>
    <w:p w14:paraId="03F881E1" w14:textId="77777777" w:rsidR="001172BA" w:rsidRPr="001172BA" w:rsidRDefault="001172BA" w:rsidP="001172BA"/>
    <w:p w14:paraId="65E5E6E0" w14:textId="65E47E09" w:rsidR="001172BA" w:rsidRPr="001172BA" w:rsidRDefault="001172BA" w:rsidP="001172BA">
      <w:pPr>
        <w:ind w:left="720"/>
        <w:jc w:val="both"/>
        <w:rPr>
          <w:b/>
          <w:sz w:val="22"/>
          <w:szCs w:val="22"/>
        </w:rPr>
      </w:pPr>
      <w:r w:rsidRPr="001172BA">
        <w:rPr>
          <w:b/>
          <w:sz w:val="22"/>
          <w:szCs w:val="22"/>
        </w:rPr>
        <w:t>AN ORDINANCE OF THE CITY OF MEXICO BEACH AMENDING ORDINANCE NO. 568 AND SECTION 5.03.05(H) OF THE LAND DEVELOPMENT REGULATIONS RELATING TO “PERMISSIBLE TEMPORARY SIGNS” PARTICULARLY CONCERNING</w:t>
      </w:r>
      <w:r>
        <w:rPr>
          <w:b/>
          <w:sz w:val="22"/>
          <w:szCs w:val="22"/>
        </w:rPr>
        <w:t xml:space="preserve"> </w:t>
      </w:r>
      <w:r w:rsidRPr="001172BA">
        <w:rPr>
          <w:b/>
          <w:sz w:val="22"/>
          <w:szCs w:val="22"/>
        </w:rPr>
        <w:t xml:space="preserve">“POLITICAL SIGNS”; PROVIDING FOR SEVERABILITY; PROVIDING A MECHANISM FOR THE CORRECTION OF SCRIVENER'S ERRORS; PROVIDING FOR </w:t>
      </w:r>
      <w:proofErr w:type="gramStart"/>
      <w:r w:rsidRPr="001172BA">
        <w:rPr>
          <w:b/>
          <w:sz w:val="22"/>
          <w:szCs w:val="22"/>
        </w:rPr>
        <w:t>THE  LIBERAL</w:t>
      </w:r>
      <w:proofErr w:type="gramEnd"/>
      <w:r w:rsidRPr="001172BA">
        <w:rPr>
          <w:b/>
          <w:sz w:val="22"/>
          <w:szCs w:val="22"/>
        </w:rPr>
        <w:t xml:space="preserve"> CONSTRUCTION OF THIS ORDINANCE; REPEALING ALL ORDINANCES OR SECTIONS OF ORDINANCES IN CONFLICT HEREWITH; AND PROVIDING AN EFFECTIVE DATE.</w:t>
      </w:r>
    </w:p>
    <w:p w14:paraId="37488BF4" w14:textId="77777777" w:rsidR="001172BA" w:rsidRDefault="001172BA" w:rsidP="001172BA">
      <w:pPr>
        <w:jc w:val="both"/>
        <w:rPr>
          <w:sz w:val="24"/>
        </w:rPr>
      </w:pPr>
    </w:p>
    <w:p w14:paraId="752DD52C" w14:textId="77777777" w:rsidR="001172BA" w:rsidRPr="001172BA" w:rsidRDefault="001172BA" w:rsidP="001172BA">
      <w:pPr>
        <w:pStyle w:val="Heading1"/>
        <w:ind w:firstLine="720"/>
        <w:rPr>
          <w:rFonts w:ascii="Times New Roman" w:hAnsi="Times New Roman" w:cs="Times New Roman"/>
          <w:color w:val="auto"/>
          <w:sz w:val="24"/>
          <w:szCs w:val="24"/>
        </w:rPr>
      </w:pPr>
      <w:r w:rsidRPr="001172BA">
        <w:rPr>
          <w:rFonts w:ascii="Times New Roman" w:hAnsi="Times New Roman" w:cs="Times New Roman"/>
          <w:b/>
          <w:color w:val="auto"/>
          <w:sz w:val="24"/>
          <w:szCs w:val="24"/>
        </w:rPr>
        <w:t>WHEREAS</w:t>
      </w:r>
      <w:r w:rsidRPr="001172BA">
        <w:rPr>
          <w:rFonts w:ascii="Times New Roman" w:hAnsi="Times New Roman" w:cs="Times New Roman"/>
          <w:color w:val="auto"/>
          <w:sz w:val="24"/>
          <w:szCs w:val="24"/>
        </w:rPr>
        <w:t>, the City Council has determined that it is in the best interests of the</w:t>
      </w:r>
    </w:p>
    <w:p w14:paraId="7A57E866" w14:textId="77777777" w:rsidR="001172BA" w:rsidRPr="001172BA" w:rsidRDefault="001172BA" w:rsidP="001172BA">
      <w:pPr>
        <w:jc w:val="both"/>
        <w:rPr>
          <w:sz w:val="24"/>
          <w:szCs w:val="24"/>
        </w:rPr>
      </w:pPr>
      <w:r w:rsidRPr="001172BA">
        <w:rPr>
          <w:sz w:val="24"/>
          <w:szCs w:val="24"/>
        </w:rPr>
        <w:t>people of the City of Mexico Beach that this Ordinance be enacted, therefore,</w:t>
      </w:r>
    </w:p>
    <w:p w14:paraId="197B9528" w14:textId="77777777" w:rsidR="001172BA" w:rsidRPr="001172BA" w:rsidRDefault="001172BA" w:rsidP="001172BA">
      <w:pPr>
        <w:jc w:val="both"/>
        <w:rPr>
          <w:sz w:val="24"/>
          <w:szCs w:val="24"/>
        </w:rPr>
      </w:pPr>
    </w:p>
    <w:p w14:paraId="3515DC00" w14:textId="77777777" w:rsidR="001172BA" w:rsidRPr="001172BA" w:rsidRDefault="001172BA" w:rsidP="001172BA">
      <w:pPr>
        <w:rPr>
          <w:sz w:val="22"/>
          <w:szCs w:val="22"/>
        </w:rPr>
      </w:pPr>
      <w:r w:rsidRPr="001172BA">
        <w:rPr>
          <w:sz w:val="22"/>
          <w:szCs w:val="22"/>
        </w:rPr>
        <w:t xml:space="preserve">   BE IT ORDAINED BY THE CITY COUNCIL OF MEXICO BEACH, </w:t>
      </w:r>
      <w:smartTag w:uri="urn:schemas-microsoft-com:office:smarttags" w:element="stockticker">
        <w:r w:rsidRPr="001172BA">
          <w:rPr>
            <w:sz w:val="22"/>
            <w:szCs w:val="22"/>
          </w:rPr>
          <w:t>FLORIDA</w:t>
        </w:r>
      </w:smartTag>
      <w:r w:rsidRPr="001172BA">
        <w:rPr>
          <w:sz w:val="22"/>
          <w:szCs w:val="22"/>
        </w:rPr>
        <w:t>:</w:t>
      </w:r>
    </w:p>
    <w:p w14:paraId="22A5B5E2" w14:textId="77777777" w:rsidR="001172BA" w:rsidRPr="001172BA" w:rsidRDefault="001172BA" w:rsidP="001172BA">
      <w:pPr>
        <w:rPr>
          <w:sz w:val="22"/>
          <w:szCs w:val="22"/>
        </w:rPr>
      </w:pPr>
    </w:p>
    <w:p w14:paraId="4A3F5653" w14:textId="77777777" w:rsidR="001172BA" w:rsidRPr="001172BA" w:rsidRDefault="001172BA" w:rsidP="001172BA">
      <w:pPr>
        <w:jc w:val="both"/>
        <w:rPr>
          <w:sz w:val="22"/>
          <w:szCs w:val="22"/>
        </w:rPr>
      </w:pPr>
      <w:r w:rsidRPr="001172BA">
        <w:rPr>
          <w:sz w:val="22"/>
          <w:szCs w:val="22"/>
        </w:rPr>
        <w:t xml:space="preserve">   </w:t>
      </w:r>
      <w:r w:rsidRPr="001172BA">
        <w:rPr>
          <w:b/>
          <w:sz w:val="22"/>
          <w:szCs w:val="22"/>
          <w:u w:val="single"/>
        </w:rPr>
        <w:t>Section 1</w:t>
      </w:r>
      <w:r w:rsidRPr="001172BA">
        <w:rPr>
          <w:b/>
          <w:sz w:val="22"/>
          <w:szCs w:val="22"/>
        </w:rPr>
        <w:t>.</w:t>
      </w:r>
      <w:r w:rsidRPr="001172BA">
        <w:rPr>
          <w:sz w:val="22"/>
          <w:szCs w:val="22"/>
        </w:rPr>
        <w:t xml:space="preserve">  Article V, “Signs,” Section 5.03.05 “Permissible Temporary Signs,” specifically Subsection “H” of the City of Mexico Beach Land Development Regulations dated April 13, 2010, is amended and shall from this point forward read as follows:</w:t>
      </w:r>
    </w:p>
    <w:p w14:paraId="7ADF82F8" w14:textId="77777777" w:rsidR="001172BA" w:rsidRPr="001172BA" w:rsidRDefault="001172BA" w:rsidP="001172BA">
      <w:pPr>
        <w:jc w:val="both"/>
        <w:rPr>
          <w:sz w:val="22"/>
          <w:szCs w:val="22"/>
        </w:rPr>
      </w:pPr>
    </w:p>
    <w:p w14:paraId="6BB0559C" w14:textId="77777777" w:rsidR="001172BA" w:rsidRDefault="001172BA" w:rsidP="001172BA">
      <w:pPr>
        <w:ind w:left="720"/>
        <w:jc w:val="both"/>
        <w:rPr>
          <w:sz w:val="22"/>
          <w:szCs w:val="22"/>
        </w:rPr>
      </w:pPr>
      <w:r w:rsidRPr="001172BA">
        <w:rPr>
          <w:sz w:val="22"/>
          <w:szCs w:val="22"/>
        </w:rPr>
        <w:t>H.  Political Signs.  Political Signs are defined as any sign that requires a political disclaimer under Florida State Statute Chapter 106 and those signs supporting a political candidate, campaign, or legislative proposal/policy.  Political Signs must meet the following standards.</w:t>
      </w:r>
    </w:p>
    <w:p w14:paraId="415D54A2" w14:textId="77777777" w:rsidR="001172BA" w:rsidRPr="001172BA" w:rsidRDefault="001172BA" w:rsidP="001172BA">
      <w:pPr>
        <w:ind w:left="720"/>
        <w:jc w:val="both"/>
        <w:rPr>
          <w:sz w:val="22"/>
          <w:szCs w:val="22"/>
        </w:rPr>
      </w:pPr>
    </w:p>
    <w:p w14:paraId="66D122B4" w14:textId="77777777" w:rsidR="001172BA" w:rsidRPr="001172BA" w:rsidRDefault="001172BA" w:rsidP="001172BA">
      <w:pPr>
        <w:ind w:left="1440" w:right="1008"/>
        <w:jc w:val="both"/>
        <w:rPr>
          <w:sz w:val="22"/>
          <w:szCs w:val="22"/>
        </w:rPr>
      </w:pPr>
      <w:r w:rsidRPr="001172BA">
        <w:rPr>
          <w:sz w:val="22"/>
          <w:szCs w:val="22"/>
        </w:rPr>
        <w:t xml:space="preserve">(1).  </w:t>
      </w:r>
      <w:r w:rsidRPr="001172BA">
        <w:rPr>
          <w:i/>
          <w:iCs/>
          <w:sz w:val="22"/>
          <w:szCs w:val="22"/>
        </w:rPr>
        <w:t>Placement</w:t>
      </w:r>
      <w:r w:rsidRPr="001172BA">
        <w:rPr>
          <w:sz w:val="22"/>
          <w:szCs w:val="22"/>
        </w:rPr>
        <w:t xml:space="preserve">.  Signs shall be placed on private property only and with the permission of the property owner.  The signs may be </w:t>
      </w:r>
      <w:r w:rsidRPr="001172BA">
        <w:rPr>
          <w:strike/>
          <w:sz w:val="22"/>
          <w:szCs w:val="22"/>
        </w:rPr>
        <w:t xml:space="preserve">placed back-to-back, or single face, but multiple signs of the same candidate shall not be placed within ten feet of one another, regardless of size </w:t>
      </w:r>
      <w:r w:rsidRPr="001172BA">
        <w:rPr>
          <w:sz w:val="22"/>
          <w:szCs w:val="22"/>
          <w:u w:val="single"/>
        </w:rPr>
        <w:t>either single o</w:t>
      </w:r>
      <w:r w:rsidRPr="001172BA">
        <w:rPr>
          <w:sz w:val="22"/>
          <w:szCs w:val="22"/>
        </w:rPr>
        <w:t xml:space="preserve">r </w:t>
      </w:r>
      <w:r w:rsidRPr="001172BA">
        <w:rPr>
          <w:sz w:val="22"/>
          <w:szCs w:val="22"/>
          <w:u w:val="single"/>
        </w:rPr>
        <w:t>double-faced but only one sign per political candidate and/or proposal/policy will be allowed on each parcel of property.  All political signs shall be placed within ten feet of the closest wall of the primary structure on the property.  The bottom of political signs shall be at ground level and are political signs are prohibited from being placed on poles, fences, buildings/structures, and any other object to elevate their height above ground level.</w:t>
      </w:r>
      <w:r w:rsidRPr="001172BA">
        <w:rPr>
          <w:sz w:val="22"/>
          <w:szCs w:val="22"/>
        </w:rPr>
        <w:t xml:space="preserve"> </w:t>
      </w:r>
    </w:p>
    <w:p w14:paraId="002D35ED" w14:textId="77777777" w:rsidR="001172BA" w:rsidRPr="001172BA" w:rsidRDefault="001172BA" w:rsidP="001172BA">
      <w:pPr>
        <w:ind w:left="1440" w:right="1008"/>
        <w:jc w:val="both"/>
        <w:rPr>
          <w:sz w:val="22"/>
          <w:szCs w:val="22"/>
        </w:rPr>
      </w:pPr>
      <w:r w:rsidRPr="001172BA">
        <w:rPr>
          <w:sz w:val="22"/>
          <w:szCs w:val="22"/>
        </w:rPr>
        <w:t xml:space="preserve">(2).  </w:t>
      </w:r>
      <w:r w:rsidRPr="001172BA">
        <w:rPr>
          <w:i/>
          <w:iCs/>
          <w:sz w:val="22"/>
          <w:szCs w:val="22"/>
        </w:rPr>
        <w:t xml:space="preserve">Dimensions.  </w:t>
      </w:r>
      <w:r w:rsidRPr="001172BA">
        <w:rPr>
          <w:sz w:val="22"/>
          <w:szCs w:val="22"/>
        </w:rPr>
        <w:t xml:space="preserve">Political signs shall not exceed </w:t>
      </w:r>
      <w:r w:rsidRPr="001172BA">
        <w:rPr>
          <w:strike/>
          <w:sz w:val="22"/>
          <w:szCs w:val="22"/>
        </w:rPr>
        <w:t>eight</w:t>
      </w:r>
      <w:r w:rsidRPr="001172BA">
        <w:rPr>
          <w:sz w:val="22"/>
          <w:szCs w:val="22"/>
        </w:rPr>
        <w:t xml:space="preserve"> </w:t>
      </w:r>
      <w:r w:rsidRPr="001172BA">
        <w:rPr>
          <w:sz w:val="22"/>
          <w:szCs w:val="22"/>
          <w:u w:val="single"/>
        </w:rPr>
        <w:t>four</w:t>
      </w:r>
      <w:r w:rsidRPr="001172BA">
        <w:rPr>
          <w:sz w:val="22"/>
          <w:szCs w:val="22"/>
        </w:rPr>
        <w:t xml:space="preserve"> square feet per sign face and shall not exceed </w:t>
      </w:r>
      <w:r w:rsidRPr="001172BA">
        <w:rPr>
          <w:strike/>
          <w:sz w:val="22"/>
          <w:szCs w:val="22"/>
        </w:rPr>
        <w:t>five</w:t>
      </w:r>
      <w:r w:rsidRPr="001172BA">
        <w:rPr>
          <w:sz w:val="22"/>
          <w:szCs w:val="22"/>
        </w:rPr>
        <w:t xml:space="preserve"> </w:t>
      </w:r>
      <w:r w:rsidRPr="001172BA">
        <w:rPr>
          <w:sz w:val="22"/>
          <w:szCs w:val="22"/>
          <w:u w:val="single"/>
        </w:rPr>
        <w:t>four</w:t>
      </w:r>
      <w:r w:rsidRPr="001172BA">
        <w:rPr>
          <w:sz w:val="22"/>
          <w:szCs w:val="22"/>
        </w:rPr>
        <w:t xml:space="preserve"> feet in sign height measured from the ground where it is placed.</w:t>
      </w:r>
    </w:p>
    <w:p w14:paraId="6E9C2C1B" w14:textId="7854ED42" w:rsidR="00174CDE" w:rsidRPr="001172BA" w:rsidRDefault="001172BA" w:rsidP="00174CDE">
      <w:pPr>
        <w:ind w:left="1440" w:right="1008"/>
        <w:jc w:val="both"/>
        <w:rPr>
          <w:sz w:val="22"/>
          <w:szCs w:val="22"/>
        </w:rPr>
      </w:pPr>
      <w:r w:rsidRPr="001172BA">
        <w:rPr>
          <w:sz w:val="22"/>
          <w:szCs w:val="22"/>
        </w:rPr>
        <w:t xml:space="preserve">(3).  </w:t>
      </w:r>
      <w:r w:rsidRPr="001172BA">
        <w:rPr>
          <w:i/>
          <w:iCs/>
          <w:sz w:val="22"/>
          <w:szCs w:val="22"/>
        </w:rPr>
        <w:t xml:space="preserve">Timelines for placement.  </w:t>
      </w:r>
      <w:r w:rsidRPr="001172BA">
        <w:rPr>
          <w:sz w:val="22"/>
          <w:szCs w:val="22"/>
        </w:rPr>
        <w:t xml:space="preserve">All political signs shall not be displayed prior to 90 days before the date of any election and shall be removed within </w:t>
      </w:r>
      <w:r w:rsidRPr="001172BA">
        <w:rPr>
          <w:strike/>
          <w:sz w:val="22"/>
          <w:szCs w:val="22"/>
        </w:rPr>
        <w:t>ten</w:t>
      </w:r>
      <w:r w:rsidRPr="001172BA">
        <w:rPr>
          <w:sz w:val="22"/>
          <w:szCs w:val="22"/>
        </w:rPr>
        <w:t xml:space="preserve"> </w:t>
      </w:r>
      <w:r w:rsidRPr="001172BA">
        <w:rPr>
          <w:sz w:val="22"/>
          <w:szCs w:val="22"/>
          <w:u w:val="single"/>
        </w:rPr>
        <w:t>five</w:t>
      </w:r>
      <w:r w:rsidRPr="001172BA">
        <w:rPr>
          <w:sz w:val="22"/>
          <w:szCs w:val="22"/>
        </w:rPr>
        <w:t xml:space="preserve"> days following the end of any election cycle.  If a primary or run off exists, only candidates or issues advancing will be allowed to continue sign placement.</w:t>
      </w:r>
    </w:p>
    <w:p w14:paraId="319E9A85" w14:textId="77777777" w:rsidR="001172BA" w:rsidRPr="001172BA" w:rsidRDefault="001172BA" w:rsidP="001172BA">
      <w:pPr>
        <w:ind w:left="1440" w:hanging="720"/>
        <w:jc w:val="both"/>
        <w:rPr>
          <w:sz w:val="22"/>
          <w:szCs w:val="22"/>
        </w:rPr>
      </w:pPr>
    </w:p>
    <w:p w14:paraId="425276D7" w14:textId="6E3B613C" w:rsidR="001172BA" w:rsidRPr="001172BA" w:rsidRDefault="001172BA" w:rsidP="001172BA">
      <w:pPr>
        <w:ind w:firstLine="180"/>
        <w:jc w:val="both"/>
        <w:rPr>
          <w:sz w:val="22"/>
          <w:szCs w:val="22"/>
        </w:rPr>
      </w:pPr>
      <w:r w:rsidRPr="001172BA">
        <w:rPr>
          <w:b/>
          <w:sz w:val="22"/>
          <w:szCs w:val="22"/>
          <w:u w:val="single"/>
        </w:rPr>
        <w:t>Section 2</w:t>
      </w:r>
      <w:r w:rsidRPr="001172BA">
        <w:rPr>
          <w:b/>
          <w:sz w:val="22"/>
          <w:szCs w:val="22"/>
        </w:rPr>
        <w:t>.</w:t>
      </w:r>
      <w:r w:rsidRPr="001172BA">
        <w:rPr>
          <w:sz w:val="22"/>
          <w:szCs w:val="22"/>
        </w:rPr>
        <w:t xml:space="preserve"> </w:t>
      </w:r>
      <w:r w:rsidRPr="001172BA">
        <w:rPr>
          <w:sz w:val="22"/>
          <w:szCs w:val="22"/>
        </w:rPr>
        <w:tab/>
        <w:t>If any section, subsection, sentence, clause, phrase, word or provision of this Ordinance is for any reason held invalid or unconstitutional by any court of competent jurisdiction, whether for substantive, procedural, or any other reason, such portion shall be deemed a separate, distinct and independent provision, and such holding shall not affect the validity of the remaining portions of this Ordinance.</w:t>
      </w:r>
    </w:p>
    <w:p w14:paraId="70A5E4C7" w14:textId="77777777" w:rsidR="001172BA" w:rsidRPr="001172BA" w:rsidRDefault="001172BA" w:rsidP="001172BA">
      <w:pPr>
        <w:ind w:firstLine="187"/>
        <w:jc w:val="both"/>
        <w:rPr>
          <w:sz w:val="22"/>
          <w:szCs w:val="22"/>
        </w:rPr>
      </w:pPr>
      <w:r w:rsidRPr="001172BA">
        <w:rPr>
          <w:b/>
          <w:bCs/>
          <w:sz w:val="22"/>
          <w:szCs w:val="22"/>
          <w:u w:val="single"/>
        </w:rPr>
        <w:lastRenderedPageBreak/>
        <w:t>Section 3</w:t>
      </w:r>
      <w:r w:rsidRPr="001172BA">
        <w:rPr>
          <w:sz w:val="22"/>
          <w:szCs w:val="22"/>
        </w:rPr>
        <w:t>.</w:t>
      </w:r>
      <w:r w:rsidRPr="001172BA">
        <w:rPr>
          <w:sz w:val="22"/>
          <w:szCs w:val="22"/>
        </w:rPr>
        <w:tab/>
        <w:t>The correction of typographical errors which do not affect the intent of the ordinance may be authorized by the City Clerk or the Clerk's designee, without public hearing.</w:t>
      </w:r>
    </w:p>
    <w:p w14:paraId="27469BDB" w14:textId="77777777" w:rsidR="001172BA" w:rsidRPr="001172BA" w:rsidRDefault="001172BA" w:rsidP="001172BA">
      <w:pPr>
        <w:ind w:firstLine="187"/>
        <w:jc w:val="both"/>
        <w:rPr>
          <w:sz w:val="22"/>
          <w:szCs w:val="22"/>
        </w:rPr>
      </w:pPr>
    </w:p>
    <w:p w14:paraId="5AD5FA3F" w14:textId="77777777" w:rsidR="001172BA" w:rsidRPr="001172BA" w:rsidRDefault="001172BA" w:rsidP="001172BA">
      <w:pPr>
        <w:ind w:firstLine="187"/>
        <w:jc w:val="both"/>
        <w:rPr>
          <w:sz w:val="22"/>
          <w:szCs w:val="22"/>
        </w:rPr>
      </w:pPr>
      <w:r w:rsidRPr="001172BA">
        <w:rPr>
          <w:b/>
          <w:bCs/>
          <w:sz w:val="22"/>
          <w:szCs w:val="22"/>
          <w:u w:val="single"/>
        </w:rPr>
        <w:t>Section 4</w:t>
      </w:r>
      <w:r w:rsidRPr="001172BA">
        <w:rPr>
          <w:sz w:val="22"/>
          <w:szCs w:val="22"/>
        </w:rPr>
        <w:t>.</w:t>
      </w:r>
      <w:r w:rsidRPr="001172BA">
        <w:rPr>
          <w:sz w:val="22"/>
          <w:szCs w:val="22"/>
        </w:rPr>
        <w:tab/>
        <w:t xml:space="preserve">This Ordinance shall be liberally construed </w:t>
      </w:r>
      <w:proofErr w:type="gramStart"/>
      <w:r w:rsidRPr="001172BA">
        <w:rPr>
          <w:sz w:val="22"/>
          <w:szCs w:val="22"/>
        </w:rPr>
        <w:t>in order to</w:t>
      </w:r>
      <w:proofErr w:type="gramEnd"/>
      <w:r w:rsidRPr="001172BA">
        <w:rPr>
          <w:sz w:val="22"/>
          <w:szCs w:val="22"/>
        </w:rPr>
        <w:t xml:space="preserve"> effectively carry out the purposes hereof which are deemed not to adversely affect public health, safety, or welfare.</w:t>
      </w:r>
    </w:p>
    <w:p w14:paraId="5DEE2CFC" w14:textId="77777777" w:rsidR="001172BA" w:rsidRPr="001172BA" w:rsidRDefault="001172BA" w:rsidP="001172BA">
      <w:pPr>
        <w:ind w:firstLine="180"/>
        <w:jc w:val="both"/>
        <w:rPr>
          <w:sz w:val="22"/>
          <w:szCs w:val="22"/>
        </w:rPr>
      </w:pPr>
    </w:p>
    <w:p w14:paraId="1540A12E" w14:textId="77777777" w:rsidR="001172BA" w:rsidRPr="001172BA" w:rsidRDefault="001172BA" w:rsidP="001172BA">
      <w:pPr>
        <w:ind w:firstLine="180"/>
        <w:jc w:val="both"/>
        <w:rPr>
          <w:sz w:val="22"/>
          <w:szCs w:val="22"/>
        </w:rPr>
      </w:pPr>
      <w:r w:rsidRPr="001172BA">
        <w:rPr>
          <w:b/>
          <w:bCs/>
          <w:sz w:val="22"/>
          <w:szCs w:val="22"/>
          <w:u w:val="single"/>
        </w:rPr>
        <w:t>Section 5</w:t>
      </w:r>
      <w:r w:rsidRPr="001172BA">
        <w:rPr>
          <w:sz w:val="22"/>
          <w:szCs w:val="22"/>
        </w:rPr>
        <w:t>.</w:t>
      </w:r>
      <w:r w:rsidRPr="001172BA">
        <w:rPr>
          <w:sz w:val="22"/>
          <w:szCs w:val="22"/>
        </w:rPr>
        <w:tab/>
        <w:t>All ordinances or parts of ordinances thereof in conflict with the provisions of this Ordinance are hereby repealed.</w:t>
      </w:r>
    </w:p>
    <w:p w14:paraId="6B742F2F" w14:textId="77777777" w:rsidR="001172BA" w:rsidRPr="001172BA" w:rsidRDefault="001172BA" w:rsidP="001172BA">
      <w:pPr>
        <w:jc w:val="both"/>
        <w:rPr>
          <w:sz w:val="22"/>
          <w:szCs w:val="22"/>
        </w:rPr>
      </w:pPr>
    </w:p>
    <w:p w14:paraId="6343173B" w14:textId="77777777" w:rsidR="001172BA" w:rsidRPr="001172BA" w:rsidRDefault="001172BA" w:rsidP="001172BA">
      <w:pPr>
        <w:jc w:val="both"/>
        <w:rPr>
          <w:sz w:val="22"/>
          <w:szCs w:val="22"/>
        </w:rPr>
      </w:pPr>
      <w:r w:rsidRPr="001172BA">
        <w:rPr>
          <w:sz w:val="22"/>
          <w:szCs w:val="22"/>
        </w:rPr>
        <w:t xml:space="preserve">   </w:t>
      </w:r>
      <w:r w:rsidRPr="001172BA">
        <w:rPr>
          <w:b/>
          <w:sz w:val="22"/>
          <w:szCs w:val="22"/>
          <w:u w:val="single"/>
        </w:rPr>
        <w:t>Section 6</w:t>
      </w:r>
      <w:r w:rsidRPr="001172BA">
        <w:rPr>
          <w:b/>
          <w:sz w:val="22"/>
          <w:szCs w:val="22"/>
        </w:rPr>
        <w:t xml:space="preserve">.   </w:t>
      </w:r>
      <w:r w:rsidRPr="001172BA">
        <w:rPr>
          <w:sz w:val="22"/>
          <w:szCs w:val="22"/>
        </w:rPr>
        <w:tab/>
        <w:t>This Ordinance shall take effect on September 1, 2024.</w:t>
      </w:r>
    </w:p>
    <w:p w14:paraId="1FDF27B3" w14:textId="77777777" w:rsidR="001172BA" w:rsidRPr="001172BA" w:rsidRDefault="001172BA" w:rsidP="001172BA">
      <w:pPr>
        <w:jc w:val="both"/>
        <w:rPr>
          <w:sz w:val="22"/>
          <w:szCs w:val="22"/>
        </w:rPr>
      </w:pPr>
    </w:p>
    <w:p w14:paraId="4F02BBC5" w14:textId="77777777" w:rsidR="001172BA" w:rsidRPr="001172BA" w:rsidRDefault="001172BA" w:rsidP="001172BA">
      <w:pPr>
        <w:jc w:val="both"/>
        <w:rPr>
          <w:sz w:val="22"/>
          <w:szCs w:val="22"/>
        </w:rPr>
      </w:pPr>
      <w:r w:rsidRPr="001172BA">
        <w:rPr>
          <w:sz w:val="22"/>
          <w:szCs w:val="22"/>
        </w:rPr>
        <w:t xml:space="preserve"> Introduced at the Regular Meeting of the City Council on the 9</w:t>
      </w:r>
      <w:r w:rsidRPr="001172BA">
        <w:rPr>
          <w:sz w:val="22"/>
          <w:szCs w:val="22"/>
          <w:vertAlign w:val="superscript"/>
        </w:rPr>
        <w:t>th</w:t>
      </w:r>
      <w:r w:rsidRPr="001172BA">
        <w:rPr>
          <w:sz w:val="22"/>
          <w:szCs w:val="22"/>
        </w:rPr>
        <w:t xml:space="preserve"> day of </w:t>
      </w:r>
      <w:proofErr w:type="gramStart"/>
      <w:r w:rsidRPr="001172BA">
        <w:rPr>
          <w:sz w:val="22"/>
          <w:szCs w:val="22"/>
        </w:rPr>
        <w:t>July,</w:t>
      </w:r>
      <w:proofErr w:type="gramEnd"/>
      <w:r w:rsidRPr="001172BA">
        <w:rPr>
          <w:sz w:val="22"/>
          <w:szCs w:val="22"/>
        </w:rPr>
        <w:t xml:space="preserve"> 2024. Adopted at the Regular Meeting of the City Council on the </w:t>
      </w:r>
      <w:proofErr w:type="gramStart"/>
      <w:r w:rsidRPr="001172BA">
        <w:rPr>
          <w:sz w:val="22"/>
          <w:szCs w:val="22"/>
        </w:rPr>
        <w:t>23</w:t>
      </w:r>
      <w:r w:rsidRPr="001172BA">
        <w:rPr>
          <w:sz w:val="22"/>
          <w:szCs w:val="22"/>
          <w:vertAlign w:val="superscript"/>
        </w:rPr>
        <w:t>th</w:t>
      </w:r>
      <w:proofErr w:type="gramEnd"/>
      <w:r w:rsidRPr="001172BA">
        <w:rPr>
          <w:sz w:val="22"/>
          <w:szCs w:val="22"/>
        </w:rPr>
        <w:t xml:space="preserve"> day of July, 2024.</w:t>
      </w:r>
    </w:p>
    <w:p w14:paraId="36EA41D1" w14:textId="77777777" w:rsidR="001172BA" w:rsidRPr="001172BA" w:rsidRDefault="001172BA" w:rsidP="001172BA">
      <w:pPr>
        <w:jc w:val="both"/>
        <w:rPr>
          <w:sz w:val="22"/>
          <w:szCs w:val="22"/>
        </w:rPr>
      </w:pPr>
      <w:r w:rsidRPr="001172BA">
        <w:rPr>
          <w:sz w:val="22"/>
          <w:szCs w:val="22"/>
        </w:rPr>
        <w:tab/>
      </w:r>
    </w:p>
    <w:p w14:paraId="53EBD32E" w14:textId="77777777" w:rsidR="001172BA" w:rsidRPr="001172BA" w:rsidRDefault="001172BA" w:rsidP="001172BA">
      <w:pPr>
        <w:jc w:val="both"/>
        <w:rPr>
          <w:sz w:val="22"/>
          <w:szCs w:val="22"/>
        </w:rPr>
      </w:pPr>
    </w:p>
    <w:p w14:paraId="191166E7" w14:textId="77777777" w:rsidR="001172BA" w:rsidRPr="001172BA" w:rsidRDefault="001172BA" w:rsidP="001172BA">
      <w:pPr>
        <w:jc w:val="both"/>
        <w:rPr>
          <w:sz w:val="22"/>
          <w:szCs w:val="22"/>
        </w:rPr>
      </w:pPr>
      <w:r w:rsidRPr="001172BA">
        <w:rPr>
          <w:sz w:val="22"/>
          <w:szCs w:val="22"/>
        </w:rPr>
        <w:tab/>
      </w:r>
      <w:r w:rsidRPr="001172BA">
        <w:rPr>
          <w:sz w:val="22"/>
          <w:szCs w:val="22"/>
        </w:rPr>
        <w:tab/>
      </w:r>
      <w:r w:rsidRPr="001172BA">
        <w:rPr>
          <w:sz w:val="22"/>
          <w:szCs w:val="22"/>
        </w:rPr>
        <w:tab/>
      </w:r>
      <w:r w:rsidRPr="001172BA">
        <w:rPr>
          <w:sz w:val="22"/>
          <w:szCs w:val="22"/>
        </w:rPr>
        <w:tab/>
      </w:r>
      <w:r w:rsidRPr="001172BA">
        <w:rPr>
          <w:sz w:val="22"/>
          <w:szCs w:val="22"/>
        </w:rPr>
        <w:tab/>
      </w:r>
      <w:r w:rsidRPr="001172BA">
        <w:rPr>
          <w:sz w:val="22"/>
          <w:szCs w:val="22"/>
        </w:rPr>
        <w:tab/>
        <w:t>CITY OF MEXICO BEACH, FLORIDA</w:t>
      </w:r>
    </w:p>
    <w:p w14:paraId="4BA56191" w14:textId="77777777" w:rsidR="001172BA" w:rsidRPr="001172BA" w:rsidRDefault="001172BA" w:rsidP="001172BA">
      <w:pPr>
        <w:jc w:val="both"/>
        <w:rPr>
          <w:sz w:val="22"/>
          <w:szCs w:val="22"/>
        </w:rPr>
      </w:pPr>
    </w:p>
    <w:p w14:paraId="229CD39D" w14:textId="77777777" w:rsidR="001172BA" w:rsidRPr="001172BA" w:rsidRDefault="001172BA" w:rsidP="001172BA">
      <w:pPr>
        <w:jc w:val="both"/>
        <w:rPr>
          <w:sz w:val="22"/>
          <w:szCs w:val="22"/>
        </w:rPr>
      </w:pPr>
    </w:p>
    <w:p w14:paraId="756F0300" w14:textId="77777777" w:rsidR="001172BA" w:rsidRPr="001172BA" w:rsidRDefault="001172BA" w:rsidP="001172BA">
      <w:pPr>
        <w:jc w:val="both"/>
        <w:rPr>
          <w:sz w:val="22"/>
          <w:szCs w:val="22"/>
        </w:rPr>
      </w:pPr>
    </w:p>
    <w:p w14:paraId="3ED31674" w14:textId="77777777" w:rsidR="001172BA" w:rsidRPr="001172BA" w:rsidRDefault="001172BA" w:rsidP="001172BA">
      <w:pPr>
        <w:jc w:val="both"/>
        <w:rPr>
          <w:sz w:val="22"/>
          <w:szCs w:val="22"/>
        </w:rPr>
      </w:pPr>
      <w:r w:rsidRPr="001172BA">
        <w:rPr>
          <w:sz w:val="22"/>
          <w:szCs w:val="22"/>
        </w:rPr>
        <w:tab/>
      </w:r>
      <w:r w:rsidRPr="001172BA">
        <w:rPr>
          <w:sz w:val="22"/>
          <w:szCs w:val="22"/>
        </w:rPr>
        <w:tab/>
      </w:r>
      <w:r w:rsidRPr="001172BA">
        <w:rPr>
          <w:sz w:val="22"/>
          <w:szCs w:val="22"/>
        </w:rPr>
        <w:tab/>
      </w:r>
      <w:r w:rsidRPr="001172BA">
        <w:rPr>
          <w:sz w:val="22"/>
          <w:szCs w:val="22"/>
        </w:rPr>
        <w:tab/>
      </w:r>
      <w:r w:rsidRPr="001172BA">
        <w:rPr>
          <w:sz w:val="22"/>
          <w:szCs w:val="22"/>
        </w:rPr>
        <w:tab/>
      </w:r>
      <w:r w:rsidRPr="001172BA">
        <w:rPr>
          <w:sz w:val="22"/>
          <w:szCs w:val="22"/>
        </w:rPr>
        <w:tab/>
        <w:t>________________________________</w:t>
      </w:r>
    </w:p>
    <w:p w14:paraId="431138EE" w14:textId="77777777" w:rsidR="001172BA" w:rsidRPr="001172BA" w:rsidRDefault="001172BA" w:rsidP="001172BA">
      <w:pPr>
        <w:jc w:val="both"/>
        <w:rPr>
          <w:sz w:val="22"/>
          <w:szCs w:val="22"/>
        </w:rPr>
      </w:pPr>
      <w:r w:rsidRPr="001172BA">
        <w:rPr>
          <w:sz w:val="22"/>
          <w:szCs w:val="22"/>
        </w:rPr>
        <w:tab/>
      </w:r>
      <w:r w:rsidRPr="001172BA">
        <w:rPr>
          <w:sz w:val="22"/>
          <w:szCs w:val="22"/>
        </w:rPr>
        <w:tab/>
      </w:r>
      <w:r w:rsidRPr="001172BA">
        <w:rPr>
          <w:sz w:val="22"/>
          <w:szCs w:val="22"/>
        </w:rPr>
        <w:tab/>
      </w:r>
      <w:r w:rsidRPr="001172BA">
        <w:rPr>
          <w:sz w:val="22"/>
          <w:szCs w:val="22"/>
        </w:rPr>
        <w:tab/>
      </w:r>
      <w:r w:rsidRPr="001172BA">
        <w:rPr>
          <w:sz w:val="22"/>
          <w:szCs w:val="22"/>
        </w:rPr>
        <w:tab/>
      </w:r>
      <w:r w:rsidRPr="001172BA">
        <w:rPr>
          <w:sz w:val="22"/>
          <w:szCs w:val="22"/>
        </w:rPr>
        <w:tab/>
        <w:t>Richard Wolff, Mayor</w:t>
      </w:r>
    </w:p>
    <w:p w14:paraId="06C1E5AB" w14:textId="77777777" w:rsidR="001172BA" w:rsidRPr="001172BA" w:rsidRDefault="001172BA" w:rsidP="001172BA">
      <w:pPr>
        <w:jc w:val="both"/>
        <w:rPr>
          <w:sz w:val="22"/>
          <w:szCs w:val="22"/>
        </w:rPr>
      </w:pPr>
    </w:p>
    <w:p w14:paraId="5794977A" w14:textId="77777777" w:rsidR="001172BA" w:rsidRPr="001172BA" w:rsidRDefault="001172BA" w:rsidP="001172BA">
      <w:pPr>
        <w:jc w:val="both"/>
        <w:rPr>
          <w:sz w:val="22"/>
          <w:szCs w:val="22"/>
        </w:rPr>
      </w:pPr>
    </w:p>
    <w:p w14:paraId="7A8412A9" w14:textId="77777777" w:rsidR="001172BA" w:rsidRPr="001172BA" w:rsidRDefault="001172BA" w:rsidP="001172BA">
      <w:pPr>
        <w:jc w:val="both"/>
        <w:rPr>
          <w:sz w:val="22"/>
          <w:szCs w:val="22"/>
        </w:rPr>
      </w:pPr>
    </w:p>
    <w:p w14:paraId="37CCDA73" w14:textId="77777777" w:rsidR="001172BA" w:rsidRPr="001172BA" w:rsidRDefault="001172BA" w:rsidP="001172BA">
      <w:pPr>
        <w:jc w:val="both"/>
        <w:rPr>
          <w:sz w:val="22"/>
          <w:szCs w:val="22"/>
        </w:rPr>
      </w:pPr>
      <w:r w:rsidRPr="001172BA">
        <w:rPr>
          <w:sz w:val="22"/>
          <w:szCs w:val="22"/>
        </w:rPr>
        <w:t>ATTEST:</w:t>
      </w:r>
      <w:r w:rsidRPr="001172BA">
        <w:rPr>
          <w:sz w:val="22"/>
          <w:szCs w:val="22"/>
        </w:rPr>
        <w:tab/>
      </w:r>
      <w:r w:rsidRPr="001172BA">
        <w:rPr>
          <w:sz w:val="22"/>
          <w:szCs w:val="22"/>
        </w:rPr>
        <w:tab/>
      </w:r>
      <w:r w:rsidRPr="001172BA">
        <w:rPr>
          <w:sz w:val="22"/>
          <w:szCs w:val="22"/>
        </w:rPr>
        <w:tab/>
      </w:r>
      <w:r w:rsidRPr="001172BA">
        <w:rPr>
          <w:sz w:val="22"/>
          <w:szCs w:val="22"/>
        </w:rPr>
        <w:tab/>
      </w:r>
      <w:r w:rsidRPr="001172BA">
        <w:rPr>
          <w:sz w:val="22"/>
          <w:szCs w:val="22"/>
        </w:rPr>
        <w:tab/>
        <w:t xml:space="preserve"> </w:t>
      </w:r>
    </w:p>
    <w:p w14:paraId="48E54DC3" w14:textId="77777777" w:rsidR="001172BA" w:rsidRPr="001172BA" w:rsidRDefault="001172BA" w:rsidP="001172BA">
      <w:pPr>
        <w:jc w:val="both"/>
        <w:rPr>
          <w:sz w:val="22"/>
          <w:szCs w:val="22"/>
        </w:rPr>
      </w:pPr>
    </w:p>
    <w:p w14:paraId="1FE4FF78" w14:textId="77777777" w:rsidR="001172BA" w:rsidRPr="001172BA" w:rsidRDefault="001172BA" w:rsidP="001172BA">
      <w:pPr>
        <w:jc w:val="both"/>
        <w:rPr>
          <w:sz w:val="22"/>
          <w:szCs w:val="22"/>
        </w:rPr>
      </w:pPr>
    </w:p>
    <w:p w14:paraId="2F2958F7" w14:textId="77777777" w:rsidR="001172BA" w:rsidRPr="001172BA" w:rsidRDefault="001172BA" w:rsidP="001172BA">
      <w:pPr>
        <w:jc w:val="both"/>
        <w:rPr>
          <w:sz w:val="22"/>
          <w:szCs w:val="22"/>
        </w:rPr>
      </w:pPr>
    </w:p>
    <w:p w14:paraId="6046C250" w14:textId="77777777" w:rsidR="001172BA" w:rsidRPr="001172BA" w:rsidRDefault="001172BA" w:rsidP="001172BA">
      <w:pPr>
        <w:jc w:val="both"/>
        <w:rPr>
          <w:sz w:val="22"/>
          <w:szCs w:val="22"/>
        </w:rPr>
      </w:pPr>
      <w:r w:rsidRPr="001172BA">
        <w:rPr>
          <w:sz w:val="22"/>
          <w:szCs w:val="22"/>
        </w:rPr>
        <w:t>_______________________________</w:t>
      </w:r>
    </w:p>
    <w:p w14:paraId="159954F3" w14:textId="77777777" w:rsidR="001172BA" w:rsidRPr="001172BA" w:rsidRDefault="001172BA" w:rsidP="001172BA">
      <w:pPr>
        <w:jc w:val="both"/>
        <w:rPr>
          <w:sz w:val="22"/>
          <w:szCs w:val="22"/>
        </w:rPr>
      </w:pPr>
      <w:r w:rsidRPr="001172BA">
        <w:rPr>
          <w:sz w:val="22"/>
          <w:szCs w:val="22"/>
        </w:rPr>
        <w:t>Tammy Brunson, City Clerk</w:t>
      </w:r>
    </w:p>
    <w:p w14:paraId="365CB89B" w14:textId="77777777" w:rsidR="001172BA" w:rsidRPr="001172BA" w:rsidRDefault="001172BA" w:rsidP="001172BA">
      <w:pPr>
        <w:jc w:val="both"/>
        <w:rPr>
          <w:sz w:val="22"/>
          <w:szCs w:val="22"/>
        </w:rPr>
      </w:pPr>
    </w:p>
    <w:p w14:paraId="1E22F358" w14:textId="77777777" w:rsidR="001172BA" w:rsidRPr="001172BA" w:rsidRDefault="001172BA" w:rsidP="001172BA">
      <w:pPr>
        <w:jc w:val="both"/>
        <w:rPr>
          <w:sz w:val="22"/>
          <w:szCs w:val="22"/>
        </w:rPr>
      </w:pPr>
    </w:p>
    <w:p w14:paraId="3DDE3310" w14:textId="77777777" w:rsidR="001172BA" w:rsidRPr="001172BA" w:rsidRDefault="001172BA" w:rsidP="001172BA">
      <w:pPr>
        <w:jc w:val="both"/>
        <w:rPr>
          <w:sz w:val="22"/>
          <w:szCs w:val="22"/>
        </w:rPr>
      </w:pPr>
    </w:p>
    <w:p w14:paraId="1059BA37" w14:textId="77777777" w:rsidR="001172BA" w:rsidRPr="001172BA" w:rsidRDefault="001172BA" w:rsidP="001172BA">
      <w:pPr>
        <w:jc w:val="both"/>
        <w:rPr>
          <w:sz w:val="22"/>
          <w:szCs w:val="22"/>
        </w:rPr>
      </w:pPr>
    </w:p>
    <w:p w14:paraId="5D499BCE" w14:textId="77777777" w:rsidR="001172BA" w:rsidRPr="001172BA" w:rsidRDefault="001172BA" w:rsidP="001172BA">
      <w:pPr>
        <w:spacing w:line="360" w:lineRule="auto"/>
        <w:ind w:firstLine="720"/>
        <w:jc w:val="both"/>
        <w:rPr>
          <w:rFonts w:ascii="Courier New" w:hAnsi="Courier New" w:cs="Courier New"/>
          <w:sz w:val="22"/>
          <w:szCs w:val="22"/>
        </w:rPr>
      </w:pPr>
    </w:p>
    <w:p w14:paraId="6BEB2724" w14:textId="77777777" w:rsidR="001172BA" w:rsidRPr="001172BA" w:rsidRDefault="001172BA" w:rsidP="001172BA">
      <w:pPr>
        <w:ind w:left="720" w:right="720"/>
        <w:jc w:val="both"/>
        <w:rPr>
          <w:sz w:val="22"/>
          <w:szCs w:val="22"/>
        </w:rPr>
      </w:pPr>
      <w:r w:rsidRPr="001172BA">
        <w:rPr>
          <w:sz w:val="22"/>
          <w:szCs w:val="22"/>
        </w:rPr>
        <w:t xml:space="preserve">*In this Ordinance, language added to an existing section is printed in </w:t>
      </w:r>
      <w:r w:rsidRPr="001172BA">
        <w:rPr>
          <w:sz w:val="22"/>
          <w:szCs w:val="22"/>
          <w:u w:val="single"/>
        </w:rPr>
        <w:t>underscored type</w:t>
      </w:r>
      <w:r w:rsidRPr="001172BA">
        <w:rPr>
          <w:sz w:val="22"/>
          <w:szCs w:val="22"/>
        </w:rPr>
        <w:t xml:space="preserve">, and language deleted is printed in </w:t>
      </w:r>
      <w:r w:rsidRPr="001172BA">
        <w:rPr>
          <w:strike/>
          <w:sz w:val="22"/>
          <w:szCs w:val="22"/>
        </w:rPr>
        <w:t xml:space="preserve">struck through </w:t>
      </w:r>
      <w:proofErr w:type="gramStart"/>
      <w:r w:rsidRPr="001172BA">
        <w:rPr>
          <w:strike/>
          <w:sz w:val="22"/>
          <w:szCs w:val="22"/>
        </w:rPr>
        <w:t>type</w:t>
      </w:r>
      <w:r w:rsidRPr="001172BA">
        <w:rPr>
          <w:sz w:val="22"/>
          <w:szCs w:val="22"/>
        </w:rPr>
        <w:t>.*</w:t>
      </w:r>
      <w:proofErr w:type="gramEnd"/>
    </w:p>
    <w:p w14:paraId="39A57643" w14:textId="77777777" w:rsidR="00A9204E" w:rsidRDefault="00A9204E" w:rsidP="001172BA">
      <w:pPr>
        <w:jc w:val="both"/>
      </w:pP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87428680">
    <w:abstractNumId w:val="19"/>
  </w:num>
  <w:num w:numId="2" w16cid:durableId="146408652">
    <w:abstractNumId w:val="12"/>
  </w:num>
  <w:num w:numId="3" w16cid:durableId="929045470">
    <w:abstractNumId w:val="10"/>
  </w:num>
  <w:num w:numId="4" w16cid:durableId="654645874">
    <w:abstractNumId w:val="21"/>
  </w:num>
  <w:num w:numId="5" w16cid:durableId="1449932668">
    <w:abstractNumId w:val="13"/>
  </w:num>
  <w:num w:numId="6" w16cid:durableId="115607894">
    <w:abstractNumId w:val="16"/>
  </w:num>
  <w:num w:numId="7" w16cid:durableId="831220391">
    <w:abstractNumId w:val="18"/>
  </w:num>
  <w:num w:numId="8" w16cid:durableId="523517755">
    <w:abstractNumId w:val="9"/>
  </w:num>
  <w:num w:numId="9" w16cid:durableId="14381392">
    <w:abstractNumId w:val="7"/>
  </w:num>
  <w:num w:numId="10" w16cid:durableId="467206917">
    <w:abstractNumId w:val="6"/>
  </w:num>
  <w:num w:numId="11" w16cid:durableId="1430001918">
    <w:abstractNumId w:val="5"/>
  </w:num>
  <w:num w:numId="12" w16cid:durableId="1718774205">
    <w:abstractNumId w:val="4"/>
  </w:num>
  <w:num w:numId="13" w16cid:durableId="2032146012">
    <w:abstractNumId w:val="8"/>
  </w:num>
  <w:num w:numId="14" w16cid:durableId="560363321">
    <w:abstractNumId w:val="3"/>
  </w:num>
  <w:num w:numId="15" w16cid:durableId="1718974049">
    <w:abstractNumId w:val="2"/>
  </w:num>
  <w:num w:numId="16" w16cid:durableId="1679649069">
    <w:abstractNumId w:val="1"/>
  </w:num>
  <w:num w:numId="17" w16cid:durableId="1199778143">
    <w:abstractNumId w:val="0"/>
  </w:num>
  <w:num w:numId="18" w16cid:durableId="687677379">
    <w:abstractNumId w:val="14"/>
  </w:num>
  <w:num w:numId="19" w16cid:durableId="1085345994">
    <w:abstractNumId w:val="15"/>
  </w:num>
  <w:num w:numId="20" w16cid:durableId="1667857533">
    <w:abstractNumId w:val="20"/>
  </w:num>
  <w:num w:numId="21" w16cid:durableId="349836920">
    <w:abstractNumId w:val="17"/>
  </w:num>
  <w:num w:numId="22" w16cid:durableId="402220890">
    <w:abstractNumId w:val="11"/>
  </w:num>
  <w:num w:numId="23" w16cid:durableId="8807491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1172BA"/>
    <w:rsid w:val="00174CDE"/>
    <w:rsid w:val="00645252"/>
    <w:rsid w:val="006D3D74"/>
    <w:rsid w:val="0083569A"/>
    <w:rsid w:val="00A9204E"/>
    <w:rsid w:val="00B56D9F"/>
    <w:rsid w:val="00C0716F"/>
    <w:rsid w:val="00D856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7A88B96"/>
  <w15:chartTrackingRefBased/>
  <w15:docId w15:val="{9D45EDA0-6C66-44DC-A75D-0D62F47A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2BA"/>
    <w:rPr>
      <w:rFonts w:ascii="Times New Roman" w:eastAsia="Times New Roman" w:hAnsi="Times New Roman" w:cs="Times New Roman"/>
      <w:sz w:val="20"/>
      <w:szCs w:val="20"/>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7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runs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Brunson</dc:creator>
  <cp:keywords/>
  <dc:description/>
  <cp:lastModifiedBy>Tammy Brunson</cp:lastModifiedBy>
  <cp:revision>2</cp:revision>
  <cp:lastPrinted>2024-10-02T21:31:00Z</cp:lastPrinted>
  <dcterms:created xsi:type="dcterms:W3CDTF">2024-10-02T21:35:00Z</dcterms:created>
  <dcterms:modified xsi:type="dcterms:W3CDTF">2024-10-02T21:35:00Z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